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175"/>
        <w:gridCol w:w="1500"/>
      </w:tblGrid>
      <w:tr w:rsidR="00FB378A" w:rsidRPr="00FB378A">
        <w:trPr>
          <w:tblCellSpacing w:w="0" w:type="dxa"/>
          <w:jc w:val="center"/>
        </w:trPr>
        <w:tc>
          <w:tcPr>
            <w:tcW w:w="1575" w:type="dxa"/>
            <w:vMerge w:val="restart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FB378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234D610A" wp14:editId="491138C7">
                  <wp:extent cx="808355" cy="848995"/>
                  <wp:effectExtent l="0" t="0" r="0" b="8255"/>
                  <wp:docPr id="1" name="Picture 1" descr="http://www.bmh-ltd.com/bulletins/seam_sealing/bmh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mh-ltd.com/bulletins/seam_sealing/bmh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Perpetua" w:eastAsia="Times New Roman" w:hAnsi="Perpetua" w:cs="Tahoma"/>
                <w:color w:val="000000"/>
                <w:sz w:val="72"/>
                <w:szCs w:val="72"/>
                <w:lang w:eastAsia="en-GB"/>
              </w:rPr>
              <w:t>Heritage information sheet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0" distR="0" simplePos="0" relativeHeight="251659264" behindDoc="0" locked="0" layoutInCell="1" allowOverlap="0" wp14:anchorId="571D8A3E" wp14:editId="4A61B14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Picture 3" descr="http://www.bmh-ltd.com/bulletins/seam_sealing/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mh-ltd.com/bulletins/seam_sealing/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FB378A" w:rsidRPr="00FB378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B378A" w:rsidRPr="00FB378A" w:rsidRDefault="00FB378A" w:rsidP="00FB37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12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FB378A" w:rsidRPr="00FB378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en-GB"/>
              </w:rPr>
              <w:t>Body sealing - MGB Roadster and MGB GT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B378A" w:rsidRPr="00FB378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A90816A" wp14:editId="37D19D32">
                  <wp:extent cx="3812540" cy="1828800"/>
                  <wp:effectExtent l="0" t="0" r="0" b="0"/>
                  <wp:docPr id="3" name="Picture 3" descr="http://www.bmh-ltd.com/bulletins/seam_sealing/mgbshe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mh-ltd.com/bulletins/seam_sealing/mgbshel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8A" w:rsidRPr="00FB378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In response to customer feedback, Heritage bodies no longer have seam sealer applied, allowing owners the choice when preparing their cars for </w:t>
            </w:r>
            <w:proofErr w:type="spellStart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concours</w:t>
            </w:r>
            <w:proofErr w:type="spellEnd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d'elegance</w:t>
            </w:r>
            <w:proofErr w:type="spellEnd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or competition use. This information sheet has been produced as a guide for those owners who wish to seam seal their </w:t>
            </w:r>
            <w:proofErr w:type="spellStart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bodyshell</w:t>
            </w:r>
            <w:proofErr w:type="spellEnd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to the original factory specification prior to applying coats of primer.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 xml:space="preserve">It is recommended that the sealer is applied to the </w:t>
            </w:r>
            <w:proofErr w:type="spellStart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bodyshell</w:t>
            </w:r>
            <w:proofErr w:type="spellEnd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using a caulking gun and then worked into the seam with a short bristled brush.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 xml:space="preserve">Suitable products include any air drying sealant for home application or, if the work is carried out by a professional painting company, a product suitable for the company's paint spray oven and curing temperature is required. </w:t>
            </w:r>
          </w:p>
        </w:tc>
      </w:tr>
      <w:tr w:rsidR="00FB378A" w:rsidRPr="00FB378A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1. Rear wheel arches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The left hand wheel arch is shown. Repeat application to the right hand side.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FB378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44C1B5F8" wp14:editId="63B483A9">
                  <wp:extent cx="3380105" cy="2261235"/>
                  <wp:effectExtent l="0" t="0" r="0" b="5715"/>
                  <wp:docPr id="4" name="Picture 4" descr="http://www.bmh-ltd.com/bulletins/seam_sealing/mgb_rear_wheel_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mh-ltd.com/bulletins/seam_sealing/mgb_rear_wheel_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10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2. Front wheel arches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The right hand wheel arch is shown. Repeat application to the left hand side.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FB378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566ECB9A" wp14:editId="5B0A3960">
                  <wp:extent cx="3380105" cy="2261235"/>
                  <wp:effectExtent l="0" t="0" r="0" b="5715"/>
                  <wp:docPr id="5" name="Picture 5" descr="http://www.bmh-ltd.com/bulletins/seam_sealing/mgb_front_wheel_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mh-ltd.com/bulletins/seam_sealing/mgb_front_wheel_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10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8A" w:rsidRPr="00FB378A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3. Inside the boot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Apply to both sides as shown.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FB378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7385AAFC" wp14:editId="7DE47416">
                  <wp:extent cx="3380105" cy="2261235"/>
                  <wp:effectExtent l="0" t="0" r="0" b="5715"/>
                  <wp:docPr id="6" name="Picture 6" descr="http://www.bmh-ltd.com/bulletins/seam_sealing/mgb_b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mh-ltd.com/bulletins/seam_sealing/mgb_b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10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4. Engine bay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Apply to both sides as shown.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FB378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9FD6FCB" wp14:editId="545D1195">
                  <wp:extent cx="3380105" cy="2261235"/>
                  <wp:effectExtent l="0" t="0" r="0" b="5715"/>
                  <wp:docPr id="7" name="Picture 7" descr="http://www.bmh-ltd.com/bulletins/seam_sealing/mgb_engine_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mh-ltd.com/bulletins/seam_sealing/mgb_engine_b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10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8A" w:rsidRPr="00FB378A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5. Transmission tunnel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 xml:space="preserve">Apply to both sides of the tunnel, down into the </w:t>
            </w:r>
            <w:proofErr w:type="spellStart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footwell</w:t>
            </w:r>
            <w:proofErr w:type="spellEnd"/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(right hand side illustrated).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FB378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3AB6AE77" wp14:editId="3AF3BD95">
                  <wp:extent cx="3380105" cy="2261235"/>
                  <wp:effectExtent l="0" t="0" r="0" b="5715"/>
                  <wp:docPr id="8" name="Picture 8" descr="http://www.bmh-ltd.com/bulletins/seam_sealing/mgb_tun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mh-ltd.com/bulletins/seam_sealing/mgb_tunn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10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B37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6. Dash side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  <w:t>Apply to each dash side (left hand side shown).</w:t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FB37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br/>
            </w:r>
            <w:r w:rsidRPr="00FB378A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D4FDE67" wp14:editId="7E5E8559">
                  <wp:extent cx="3380105" cy="2261235"/>
                  <wp:effectExtent l="0" t="0" r="0" b="5715"/>
                  <wp:docPr id="9" name="Picture 9" descr="http://www.bmh-ltd.com/bulletins/seam_sealing/mgb_footw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mh-ltd.com/bulletins/seam_sealing/mgb_footw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10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8A" w:rsidRPr="00FB378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2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5"/>
            </w:tblGrid>
            <w:tr w:rsidR="00FB378A" w:rsidRPr="00FB378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378A" w:rsidRPr="00FB378A" w:rsidRDefault="00FB378A" w:rsidP="00FB378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B378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7. Rear interior</w:t>
                  </w:r>
                  <w:r w:rsidRPr="00FB37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br/>
                    <w:t xml:space="preserve">Apply to both sides as </w:t>
                  </w:r>
                  <w:proofErr w:type="gramStart"/>
                  <w:r w:rsidRPr="00FB37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shown(</w:t>
                  </w:r>
                  <w:proofErr w:type="gramEnd"/>
                  <w:r w:rsidRPr="00FB37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left hand side illustrated).</w:t>
                  </w:r>
                  <w:r w:rsidRPr="00FB378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Pr="00FB378A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4C13E0B8" wp14:editId="6F87FEB8">
                        <wp:extent cx="3380105" cy="2261235"/>
                        <wp:effectExtent l="0" t="0" r="0" b="5715"/>
                        <wp:docPr id="10" name="Picture 10" descr="http://www.bmh-ltd.com/bulletins/seam_sealing/mgb_re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mh-ltd.com/bulletins/seam_sealing/mgb_re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0105" cy="2261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378A" w:rsidRPr="00FB378A" w:rsidRDefault="00FB378A" w:rsidP="00FB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B378A" w:rsidRPr="00FB378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378A" w:rsidRPr="00FB378A" w:rsidRDefault="00FB378A" w:rsidP="00FB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B378A" w:rsidRPr="00FB378A" w:rsidRDefault="00FB378A" w:rsidP="00FB37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sectPr w:rsidR="00FB378A" w:rsidRPr="00FB3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A"/>
    <w:rsid w:val="00F0139B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DEAC8-F5E0-484F-8986-29B2FA7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Mundy</dc:creator>
  <cp:keywords/>
  <dc:description/>
  <cp:lastModifiedBy>Andrew Mundy</cp:lastModifiedBy>
  <cp:revision>1</cp:revision>
  <dcterms:created xsi:type="dcterms:W3CDTF">2015-06-13T11:14:00Z</dcterms:created>
  <dcterms:modified xsi:type="dcterms:W3CDTF">2015-06-13T11:15:00Z</dcterms:modified>
</cp:coreProperties>
</file>